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14:paraId="70574CBC" w14:textId="77777777"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14:paraId="6027C56D" w14:textId="77777777" w:rsidR="002717D1" w:rsidRPr="006F5C34" w:rsidRDefault="007E2AD8" w:rsidP="00CF4755">
      <w:pPr>
        <w:pStyle w:val="Sinespaciado"/>
        <w:jc w:val="center"/>
        <w:rPr>
          <w:rFonts w:ascii="Arial" w:hAnsi="Arial" w:cs="Arial"/>
          <w:b/>
        </w:rPr>
      </w:pPr>
      <w:r w:rsidRPr="006F5C34">
        <w:rPr>
          <w:rFonts w:ascii="Arial" w:hAnsi="Arial" w:cs="Arial"/>
          <w:b/>
        </w:rPr>
        <w:t>Legislatura 2021-2022</w:t>
      </w:r>
    </w:p>
    <w:p w14:paraId="70CDCD9F" w14:textId="77777777" w:rsidR="00A769D4" w:rsidRPr="006F5C34" w:rsidRDefault="00A769D4" w:rsidP="00CF4755">
      <w:pPr>
        <w:pStyle w:val="Sinespaciado"/>
        <w:jc w:val="center"/>
        <w:rPr>
          <w:rFonts w:ascii="Arial" w:hAnsi="Arial" w:cs="Arial"/>
          <w:b/>
        </w:rPr>
      </w:pPr>
    </w:p>
    <w:p w14:paraId="2256439A" w14:textId="00966BB5" w:rsidR="005530EF" w:rsidRPr="006F5C34" w:rsidRDefault="00E8300E" w:rsidP="00A32D66">
      <w:pPr>
        <w:pStyle w:val="Sinespaciado"/>
        <w:jc w:val="both"/>
        <w:rPr>
          <w:rFonts w:ascii="Arial" w:hAnsi="Arial" w:cs="Arial"/>
          <w:b/>
        </w:rPr>
      </w:pPr>
      <w:r w:rsidRPr="006F5C34">
        <w:rPr>
          <w:rFonts w:ascii="Arial" w:hAnsi="Arial" w:cs="Arial"/>
          <w:b/>
          <w:bCs/>
        </w:rPr>
        <w:t>TEXTO DEFINITIVO APROBADO EN PRIMER DEBATE DEL PROYECTO DE LEY</w:t>
      </w:r>
      <w:r w:rsidRPr="006F5C34">
        <w:rPr>
          <w:rFonts w:ascii="Arial" w:hAnsi="Arial" w:cs="Arial"/>
          <w:b/>
        </w:rPr>
        <w:t xml:space="preserve"> </w:t>
      </w:r>
      <w:r w:rsidR="00A32D66" w:rsidRPr="006F5C34">
        <w:rPr>
          <w:rFonts w:ascii="Arial" w:hAnsi="Arial" w:cs="Arial"/>
          <w:b/>
        </w:rPr>
        <w:t>No. 033 DE 2021 CÁMARA “POR MEDIO DE LA CUAL SE ADICIONA UN PARÁGRAFO AL ARTÍCULO 3 DE LA LEY 1574 DE 2012”</w:t>
      </w:r>
    </w:p>
    <w:p w14:paraId="626C21B7" w14:textId="77777777" w:rsidR="000C53A5" w:rsidRPr="006F5C34" w:rsidRDefault="000C53A5" w:rsidP="00980BFE">
      <w:pPr>
        <w:pStyle w:val="Sinespaciado"/>
        <w:jc w:val="both"/>
        <w:rPr>
          <w:rFonts w:ascii="Arial" w:hAnsi="Arial" w:cs="Arial"/>
          <w:b/>
        </w:rPr>
      </w:pPr>
    </w:p>
    <w:p w14:paraId="69566137" w14:textId="246D6DD4" w:rsidR="002717D1" w:rsidRPr="006F5C34" w:rsidRDefault="002717D1" w:rsidP="00980BFE">
      <w:pPr>
        <w:pStyle w:val="Sinespaciado"/>
        <w:jc w:val="center"/>
        <w:rPr>
          <w:rFonts w:ascii="Arial" w:hAnsi="Arial" w:cs="Arial"/>
        </w:rPr>
      </w:pPr>
      <w:r w:rsidRPr="006F5C34">
        <w:rPr>
          <w:rFonts w:ascii="Arial" w:hAnsi="Arial" w:cs="Arial"/>
        </w:rPr>
        <w:t xml:space="preserve">(Aprobado en la </w:t>
      </w:r>
      <w:r w:rsidR="00503697" w:rsidRPr="006F5C34">
        <w:rPr>
          <w:rFonts w:ascii="Arial" w:hAnsi="Arial" w:cs="Arial"/>
        </w:rPr>
        <w:t>Sesión semipresencial</w:t>
      </w:r>
      <w:r w:rsidR="00E77D6C" w:rsidRPr="006F5C34">
        <w:rPr>
          <w:rFonts w:ascii="Arial" w:hAnsi="Arial" w:cs="Arial"/>
        </w:rPr>
        <w:t xml:space="preserve"> </w:t>
      </w:r>
      <w:r w:rsidRPr="006F5C34">
        <w:rPr>
          <w:rFonts w:ascii="Arial" w:hAnsi="Arial" w:cs="Arial"/>
        </w:rPr>
        <w:t>de</w:t>
      </w:r>
      <w:r w:rsidR="006B757E" w:rsidRPr="006F5C34">
        <w:rPr>
          <w:rFonts w:ascii="Arial" w:hAnsi="Arial" w:cs="Arial"/>
        </w:rPr>
        <w:t xml:space="preserve">l </w:t>
      </w:r>
      <w:r w:rsidR="00A32D66" w:rsidRPr="006F5C34">
        <w:rPr>
          <w:rFonts w:ascii="Arial" w:hAnsi="Arial" w:cs="Arial"/>
        </w:rPr>
        <w:t>20</w:t>
      </w:r>
      <w:r w:rsidR="008D5A55" w:rsidRPr="006F5C34">
        <w:rPr>
          <w:rFonts w:ascii="Arial" w:hAnsi="Arial" w:cs="Arial"/>
        </w:rPr>
        <w:t xml:space="preserve"> </w:t>
      </w:r>
      <w:r w:rsidR="007E2AD8" w:rsidRPr="006F5C34">
        <w:rPr>
          <w:rFonts w:ascii="Arial" w:hAnsi="Arial" w:cs="Arial"/>
        </w:rPr>
        <w:t xml:space="preserve">de </w:t>
      </w:r>
      <w:r w:rsidR="00503697" w:rsidRPr="006F5C34">
        <w:rPr>
          <w:rFonts w:ascii="Arial" w:hAnsi="Arial" w:cs="Arial"/>
        </w:rPr>
        <w:t>octubre</w:t>
      </w:r>
      <w:r w:rsidR="0011513A" w:rsidRPr="006F5C34">
        <w:rPr>
          <w:rFonts w:ascii="Arial" w:hAnsi="Arial" w:cs="Arial"/>
        </w:rPr>
        <w:t xml:space="preserve"> de 2021</w:t>
      </w:r>
      <w:r w:rsidR="00282D98" w:rsidRPr="006F5C34">
        <w:rPr>
          <w:rFonts w:ascii="Arial" w:hAnsi="Arial" w:cs="Arial"/>
        </w:rPr>
        <w:t>,</w:t>
      </w:r>
      <w:r w:rsidRPr="006F5C34">
        <w:rPr>
          <w:rFonts w:ascii="Arial" w:hAnsi="Arial" w:cs="Arial"/>
        </w:rPr>
        <w:t xml:space="preserve"> Comisión VII </w:t>
      </w:r>
      <w:r w:rsidR="00282D98" w:rsidRPr="006F5C34">
        <w:rPr>
          <w:rFonts w:ascii="Arial" w:hAnsi="Arial" w:cs="Arial"/>
        </w:rPr>
        <w:t xml:space="preserve">Constitucional Permanente </w:t>
      </w:r>
      <w:r w:rsidRPr="006F5C34">
        <w:rPr>
          <w:rFonts w:ascii="Arial" w:hAnsi="Arial" w:cs="Arial"/>
        </w:rPr>
        <w:t>de la H. Cámara de Representantes, Acta No.</w:t>
      </w:r>
      <w:r w:rsidR="006B757E" w:rsidRPr="006F5C34">
        <w:rPr>
          <w:rFonts w:ascii="Arial" w:hAnsi="Arial" w:cs="Arial"/>
        </w:rPr>
        <w:t xml:space="preserve"> </w:t>
      </w:r>
      <w:r w:rsidR="00815E0D" w:rsidRPr="006F5C34">
        <w:rPr>
          <w:rFonts w:ascii="Arial" w:hAnsi="Arial" w:cs="Arial"/>
        </w:rPr>
        <w:t>2</w:t>
      </w:r>
      <w:r w:rsidR="00BE4262" w:rsidRPr="006F5C34">
        <w:rPr>
          <w:rFonts w:ascii="Arial" w:hAnsi="Arial" w:cs="Arial"/>
        </w:rPr>
        <w:t>2</w:t>
      </w:r>
      <w:r w:rsidRPr="006F5C34">
        <w:rPr>
          <w:rFonts w:ascii="Arial" w:hAnsi="Arial" w:cs="Arial"/>
        </w:rPr>
        <w:t>)</w:t>
      </w:r>
    </w:p>
    <w:p w14:paraId="31DC5EDC" w14:textId="77777777" w:rsidR="00E24232" w:rsidRPr="006F5C34" w:rsidRDefault="00E24232" w:rsidP="00980BFE">
      <w:pPr>
        <w:pStyle w:val="Sinespaciado"/>
        <w:jc w:val="both"/>
        <w:rPr>
          <w:rFonts w:ascii="Arial" w:hAnsi="Arial" w:cs="Arial"/>
        </w:rPr>
      </w:pPr>
    </w:p>
    <w:p w14:paraId="6E2FFCA1" w14:textId="77777777" w:rsidR="001C7B89" w:rsidRPr="006F5C34" w:rsidRDefault="001C7B89" w:rsidP="00980BFE">
      <w:pPr>
        <w:pStyle w:val="Sinespaciado"/>
        <w:jc w:val="center"/>
        <w:rPr>
          <w:rFonts w:ascii="Arial" w:hAnsi="Arial" w:cs="Arial"/>
          <w:b/>
        </w:rPr>
      </w:pPr>
      <w:r w:rsidRPr="006F5C34">
        <w:rPr>
          <w:rFonts w:ascii="Arial" w:hAnsi="Arial" w:cs="Arial"/>
          <w:b/>
        </w:rPr>
        <w:t>EL CONGRESO DE COLOMBIA</w:t>
      </w:r>
    </w:p>
    <w:p w14:paraId="41FB9D1B" w14:textId="77777777" w:rsidR="00CE617B" w:rsidRPr="006F5C34" w:rsidRDefault="00CE617B" w:rsidP="00980BFE">
      <w:pPr>
        <w:pStyle w:val="Sinespaciado"/>
        <w:jc w:val="center"/>
        <w:rPr>
          <w:rFonts w:ascii="Arial" w:hAnsi="Arial" w:cs="Arial"/>
          <w:b/>
        </w:rPr>
      </w:pPr>
    </w:p>
    <w:p w14:paraId="6CC6EEF2" w14:textId="331BED7F" w:rsidR="00EA48F0" w:rsidRPr="006F5C34" w:rsidRDefault="00EA48F0" w:rsidP="00980BFE">
      <w:pPr>
        <w:pStyle w:val="Sinespaciado"/>
        <w:jc w:val="center"/>
        <w:rPr>
          <w:rFonts w:ascii="Arial" w:hAnsi="Arial" w:cs="Arial"/>
          <w:b/>
        </w:rPr>
      </w:pPr>
      <w:r w:rsidRPr="006F5C34">
        <w:rPr>
          <w:rFonts w:ascii="Arial" w:hAnsi="Arial" w:cs="Arial"/>
          <w:b/>
        </w:rPr>
        <w:t>DECRETA:</w:t>
      </w:r>
    </w:p>
    <w:p w14:paraId="1FC19B84" w14:textId="316EC7CA" w:rsidR="004F6838" w:rsidRDefault="004F6838" w:rsidP="004F6838">
      <w:pPr>
        <w:pStyle w:val="Sinespaciado"/>
        <w:jc w:val="both"/>
        <w:rPr>
          <w:rFonts w:ascii="Arial" w:hAnsi="Arial" w:cs="Arial"/>
          <w:b/>
        </w:rPr>
      </w:pPr>
    </w:p>
    <w:p w14:paraId="4E1ACA09" w14:textId="340445E8" w:rsidR="004F6838" w:rsidRPr="006F5C34" w:rsidRDefault="004F6838" w:rsidP="004F6838">
      <w:pPr>
        <w:pStyle w:val="Sinespaciado"/>
        <w:jc w:val="both"/>
        <w:rPr>
          <w:rFonts w:ascii="Arial" w:hAnsi="Arial" w:cs="Arial"/>
        </w:rPr>
      </w:pPr>
      <w:r w:rsidRPr="006F5C34">
        <w:rPr>
          <w:rFonts w:ascii="Arial" w:hAnsi="Arial" w:cs="Arial"/>
          <w:b/>
        </w:rPr>
        <w:t>Artículo 1.</w:t>
      </w:r>
      <w:r w:rsidRPr="006F5C34">
        <w:rPr>
          <w:rFonts w:ascii="Arial" w:hAnsi="Arial" w:cs="Arial"/>
        </w:rPr>
        <w:t xml:space="preserve"> Objeto. La presente ley tiene por objeto ampliar la condición de estudiante a aquellos jóvenes que se encuentran entre los 18 y 25 años beneficiarios de la pensión de sobrevivientes, que interrumpieron sus estudios superiores o estuvieron imposibilitados a iniciarlos, con ocasión al cuidado del progenitor que se encontrase con alguna enfermedad en fase terminal.</w:t>
      </w:r>
    </w:p>
    <w:p w14:paraId="22FA963F" w14:textId="77777777" w:rsidR="004F6838" w:rsidRPr="006F5C34" w:rsidRDefault="004F6838" w:rsidP="004F6838">
      <w:pPr>
        <w:pStyle w:val="Sinespaciado"/>
        <w:jc w:val="both"/>
        <w:rPr>
          <w:rFonts w:ascii="Arial" w:hAnsi="Arial" w:cs="Arial"/>
        </w:rPr>
      </w:pPr>
    </w:p>
    <w:p w14:paraId="74C5A883" w14:textId="77777777" w:rsidR="004F6838" w:rsidRPr="006F5C34" w:rsidRDefault="004F6838" w:rsidP="004F6838">
      <w:pPr>
        <w:pStyle w:val="Sinespaciado"/>
        <w:jc w:val="both"/>
        <w:rPr>
          <w:rFonts w:ascii="Arial" w:hAnsi="Arial" w:cs="Arial"/>
        </w:rPr>
      </w:pPr>
      <w:r w:rsidRPr="006F5C34">
        <w:rPr>
          <w:rFonts w:ascii="Arial" w:hAnsi="Arial" w:cs="Arial"/>
          <w:b/>
        </w:rPr>
        <w:t>Artículo 2.</w:t>
      </w:r>
      <w:r w:rsidRPr="006F5C34">
        <w:rPr>
          <w:rFonts w:ascii="Arial" w:hAnsi="Arial" w:cs="Arial"/>
        </w:rPr>
        <w:t xml:space="preserve"> Adiciónese un parágrafo al artículo 3 de la Ley 1574 de 2012, el cual quedará así:</w:t>
      </w:r>
    </w:p>
    <w:p w14:paraId="3E511784" w14:textId="77777777" w:rsidR="00C6779A" w:rsidRPr="006F5C34" w:rsidRDefault="00C6779A" w:rsidP="004F6838">
      <w:pPr>
        <w:pStyle w:val="Sinespaciado"/>
        <w:jc w:val="both"/>
        <w:rPr>
          <w:rFonts w:ascii="Arial" w:hAnsi="Arial" w:cs="Arial"/>
        </w:rPr>
      </w:pPr>
    </w:p>
    <w:p w14:paraId="5DDEA359" w14:textId="2430CC01" w:rsidR="004F6838" w:rsidRPr="006F5C34" w:rsidRDefault="004F6838" w:rsidP="004F6838">
      <w:pPr>
        <w:pStyle w:val="Sinespaciado"/>
        <w:jc w:val="both"/>
        <w:rPr>
          <w:rFonts w:ascii="Arial" w:hAnsi="Arial" w:cs="Arial"/>
        </w:rPr>
      </w:pPr>
      <w:r w:rsidRPr="006F5C34">
        <w:rPr>
          <w:rFonts w:ascii="Arial" w:hAnsi="Arial" w:cs="Arial"/>
        </w:rPr>
        <w:t>“ARTÍCULO 3o. “El estudiante que curse, termine su semestre o ciclo académico, y decida trasladarse, hacer cambio de modalidad o programa de formación, no perderá el derecho a la pensión de sobreviviente.</w:t>
      </w:r>
    </w:p>
    <w:p w14:paraId="7F0F062B" w14:textId="77777777" w:rsidR="00C6779A" w:rsidRPr="006F5C34" w:rsidRDefault="00C6779A" w:rsidP="004F6838">
      <w:pPr>
        <w:pStyle w:val="Sinespaciado"/>
        <w:jc w:val="both"/>
        <w:rPr>
          <w:rFonts w:ascii="Arial" w:hAnsi="Arial" w:cs="Arial"/>
        </w:rPr>
      </w:pPr>
    </w:p>
    <w:p w14:paraId="412D6D9D" w14:textId="66187365" w:rsidR="004F6838" w:rsidRPr="006F5C34" w:rsidRDefault="004F6838" w:rsidP="004F6838">
      <w:pPr>
        <w:pStyle w:val="Sinespaciado"/>
        <w:jc w:val="both"/>
        <w:rPr>
          <w:rFonts w:ascii="Arial" w:hAnsi="Arial" w:cs="Arial"/>
        </w:rPr>
      </w:pPr>
      <w:r w:rsidRPr="006F5C34">
        <w:rPr>
          <w:rFonts w:ascii="Arial" w:hAnsi="Arial" w:cs="Arial"/>
        </w:rPr>
        <w:t>(...)”</w:t>
      </w:r>
    </w:p>
    <w:p w14:paraId="530FE77F" w14:textId="77777777" w:rsidR="00C6779A" w:rsidRPr="006F5C34" w:rsidRDefault="00C6779A" w:rsidP="004F6838">
      <w:pPr>
        <w:pStyle w:val="Sinespaciado"/>
        <w:jc w:val="both"/>
        <w:rPr>
          <w:rFonts w:ascii="Arial" w:hAnsi="Arial" w:cs="Arial"/>
        </w:rPr>
      </w:pPr>
    </w:p>
    <w:p w14:paraId="69219D04" w14:textId="1D8B02DF" w:rsidR="004F6838" w:rsidRPr="006F5C34" w:rsidRDefault="004F6838" w:rsidP="004F6838">
      <w:pPr>
        <w:pStyle w:val="Sinespaciado"/>
        <w:jc w:val="both"/>
        <w:rPr>
          <w:rFonts w:ascii="Arial" w:hAnsi="Arial" w:cs="Arial"/>
        </w:rPr>
      </w:pPr>
      <w:r w:rsidRPr="006F5C34">
        <w:rPr>
          <w:rFonts w:ascii="Arial" w:hAnsi="Arial" w:cs="Arial"/>
        </w:rPr>
        <w:t>PARÁGRAFO 1: Tendrá la calidad de estudiante aquella persona menor de 25 años que haya suspendido sus estudios de educación superior o se encontrase imposibilitado a iniciarlos en razón al cuidado</w:t>
      </w:r>
      <w:r w:rsidR="00C6779A" w:rsidRPr="006F5C34">
        <w:rPr>
          <w:rFonts w:ascii="Arial" w:hAnsi="Arial" w:cs="Arial"/>
        </w:rPr>
        <w:t xml:space="preserve"> de su progenitor </w:t>
      </w:r>
      <w:r w:rsidRPr="006F5C34">
        <w:rPr>
          <w:rFonts w:ascii="Arial" w:hAnsi="Arial" w:cs="Arial"/>
        </w:rPr>
        <w:t>enfermo en fase terminal, siempre que se logre acreditar la c</w:t>
      </w:r>
      <w:r w:rsidR="00C6779A" w:rsidRPr="006F5C34">
        <w:rPr>
          <w:rFonts w:ascii="Arial" w:hAnsi="Arial" w:cs="Arial"/>
        </w:rPr>
        <w:t xml:space="preserve">alidad de estudiante y cuidador, </w:t>
      </w:r>
      <w:r w:rsidR="00C6779A" w:rsidRPr="009A1B6F">
        <w:rPr>
          <w:rFonts w:ascii="Arial" w:hAnsi="Arial" w:cs="Arial"/>
        </w:rPr>
        <w:t>la calidad de estudiante será certificada por la institución de educación según sea el caso y la calidad de cuidador será certificada por el médico</w:t>
      </w:r>
      <w:r w:rsidR="00C6779A" w:rsidRPr="006F5C34">
        <w:rPr>
          <w:rFonts w:ascii="Arial" w:hAnsi="Arial" w:cs="Arial"/>
        </w:rPr>
        <w:t xml:space="preserve"> tratante del progenitor que se encontrase con alguna enfermedad en fase terminal.</w:t>
      </w:r>
    </w:p>
    <w:p w14:paraId="1BAD7144" w14:textId="77777777" w:rsidR="009A1B6F" w:rsidRDefault="009A1B6F" w:rsidP="004F6838">
      <w:pPr>
        <w:pStyle w:val="Sinespaciado"/>
        <w:jc w:val="both"/>
        <w:rPr>
          <w:rFonts w:ascii="Arial" w:hAnsi="Arial" w:cs="Arial"/>
        </w:rPr>
      </w:pPr>
    </w:p>
    <w:p w14:paraId="499190E6" w14:textId="57B025F8" w:rsidR="004F6838" w:rsidRPr="006F5C34" w:rsidRDefault="004F6838" w:rsidP="004F6838">
      <w:pPr>
        <w:pStyle w:val="Sinespaciado"/>
        <w:jc w:val="both"/>
        <w:rPr>
          <w:rFonts w:ascii="Arial" w:hAnsi="Arial" w:cs="Arial"/>
        </w:rPr>
      </w:pPr>
      <w:r w:rsidRPr="006F5C34">
        <w:rPr>
          <w:rFonts w:ascii="Arial" w:hAnsi="Arial" w:cs="Arial"/>
        </w:rPr>
        <w:t>Entiéndase por enfermo en fase terminal, lo dispuesto en la ley 1733 de 2014.</w:t>
      </w:r>
    </w:p>
    <w:p w14:paraId="4E3B8881" w14:textId="77777777" w:rsidR="004F6838" w:rsidRPr="006F5C34" w:rsidRDefault="004F6838" w:rsidP="004F6838">
      <w:pPr>
        <w:pStyle w:val="Sinespaciado"/>
        <w:jc w:val="both"/>
        <w:rPr>
          <w:rFonts w:ascii="Arial" w:hAnsi="Arial" w:cs="Arial"/>
        </w:rPr>
      </w:pPr>
    </w:p>
    <w:p w14:paraId="7070975A" w14:textId="77777777" w:rsidR="004F6838" w:rsidRPr="006F5C34" w:rsidRDefault="004F6838" w:rsidP="004F6838">
      <w:pPr>
        <w:pStyle w:val="Sinespaciado"/>
        <w:jc w:val="both"/>
        <w:rPr>
          <w:rFonts w:ascii="Arial" w:hAnsi="Arial" w:cs="Arial"/>
        </w:rPr>
      </w:pPr>
      <w:r w:rsidRPr="006F5C34">
        <w:rPr>
          <w:rFonts w:ascii="Arial" w:hAnsi="Arial" w:cs="Arial"/>
          <w:b/>
        </w:rPr>
        <w:t>Artículo 3.</w:t>
      </w:r>
      <w:r w:rsidRPr="006F5C34">
        <w:rPr>
          <w:rFonts w:ascii="Arial" w:hAnsi="Arial" w:cs="Arial"/>
        </w:rPr>
        <w:t xml:space="preserve"> Vigencia. La presente ley rige a partir de su promulgación y deroga todas las disposiciones que le sean contrarias.</w:t>
      </w:r>
    </w:p>
    <w:p w14:paraId="2A6B42B2" w14:textId="77777777" w:rsidR="004F6838" w:rsidRPr="006F5C34" w:rsidRDefault="004F6838" w:rsidP="004F6838">
      <w:pPr>
        <w:pStyle w:val="Sinespaciado"/>
        <w:jc w:val="both"/>
        <w:rPr>
          <w:rFonts w:ascii="Arial" w:hAnsi="Arial" w:cs="Arial"/>
        </w:rPr>
      </w:pPr>
    </w:p>
    <w:p w14:paraId="6F1E1A31" w14:textId="67DEECD5" w:rsidR="004F6838" w:rsidRPr="006F5C34" w:rsidRDefault="004F6838" w:rsidP="004F6838">
      <w:pPr>
        <w:pStyle w:val="Sinespaciado"/>
        <w:jc w:val="both"/>
        <w:rPr>
          <w:rFonts w:ascii="Arial" w:hAnsi="Arial" w:cs="Arial"/>
        </w:rPr>
      </w:pPr>
    </w:p>
    <w:p w14:paraId="70DFB266" w14:textId="77777777" w:rsidR="004F6838" w:rsidRPr="006F5C34" w:rsidRDefault="004F6838" w:rsidP="004F6838">
      <w:pPr>
        <w:pStyle w:val="Sinespaciado"/>
        <w:jc w:val="both"/>
        <w:rPr>
          <w:rFonts w:ascii="Arial" w:hAnsi="Arial" w:cs="Arial"/>
        </w:rPr>
      </w:pPr>
    </w:p>
    <w:p w14:paraId="5800A270" w14:textId="77777777" w:rsidR="009A1B6F" w:rsidRDefault="009A1B6F" w:rsidP="009A1B6F">
      <w:pPr>
        <w:pStyle w:val="Sinespaciado"/>
        <w:rPr>
          <w:rFonts w:ascii="Arial" w:hAnsi="Arial" w:cs="Arial"/>
          <w:b/>
        </w:rPr>
      </w:pPr>
    </w:p>
    <w:p w14:paraId="4C2EF481" w14:textId="77777777" w:rsidR="009A1B6F" w:rsidRDefault="009A1B6F" w:rsidP="009A1B6F">
      <w:pPr>
        <w:pStyle w:val="Sinespaciado"/>
        <w:rPr>
          <w:rFonts w:ascii="Arial" w:hAnsi="Arial" w:cs="Arial"/>
          <w:b/>
        </w:rPr>
      </w:pPr>
    </w:p>
    <w:p w14:paraId="4329DB03" w14:textId="77777777" w:rsidR="009A1B6F" w:rsidRDefault="009A1B6F" w:rsidP="009A1B6F">
      <w:pPr>
        <w:pStyle w:val="Sinespaciado"/>
        <w:rPr>
          <w:rFonts w:ascii="Arial" w:hAnsi="Arial" w:cs="Arial"/>
          <w:b/>
        </w:rPr>
      </w:pPr>
    </w:p>
    <w:p w14:paraId="38C7992D" w14:textId="4066CF42" w:rsidR="004F6838" w:rsidRPr="006F5C34" w:rsidRDefault="004F6838" w:rsidP="009A1B6F">
      <w:pPr>
        <w:pStyle w:val="Sinespaciado"/>
        <w:rPr>
          <w:rFonts w:ascii="Arial" w:hAnsi="Arial" w:cs="Arial"/>
          <w:b/>
        </w:rPr>
      </w:pPr>
      <w:bookmarkStart w:id="0" w:name="_GoBack"/>
      <w:bookmarkEnd w:id="0"/>
      <w:r w:rsidRPr="006F5C34">
        <w:rPr>
          <w:rFonts w:ascii="Arial" w:hAnsi="Arial" w:cs="Arial"/>
          <w:b/>
        </w:rPr>
        <w:t>JOSÉ LUIS CORREA LÓPEZ</w:t>
      </w:r>
      <w:r w:rsidR="009A1B6F">
        <w:rPr>
          <w:rFonts w:ascii="Arial" w:hAnsi="Arial" w:cs="Arial"/>
          <w:b/>
        </w:rPr>
        <w:tab/>
      </w:r>
      <w:r w:rsidR="009A1B6F">
        <w:rPr>
          <w:rFonts w:ascii="Arial" w:hAnsi="Arial" w:cs="Arial"/>
          <w:b/>
        </w:rPr>
        <w:tab/>
      </w:r>
      <w:r w:rsidR="009A1B6F">
        <w:rPr>
          <w:rFonts w:ascii="Arial" w:hAnsi="Arial" w:cs="Arial"/>
          <w:b/>
        </w:rPr>
        <w:tab/>
      </w:r>
      <w:r w:rsidR="009A1B6F" w:rsidRPr="006F5C34">
        <w:rPr>
          <w:rFonts w:ascii="Arial" w:hAnsi="Arial" w:cs="Arial"/>
          <w:b/>
        </w:rPr>
        <w:t>CARLOS EDUARDO ACOSTA LOZANO</w:t>
      </w:r>
    </w:p>
    <w:p w14:paraId="5C4C259E" w14:textId="0EC12E60" w:rsidR="004F6838" w:rsidRPr="009A1B6F" w:rsidRDefault="004F6838" w:rsidP="009A1B6F">
      <w:pPr>
        <w:pStyle w:val="Sinespaciado"/>
        <w:rPr>
          <w:rFonts w:ascii="Arial" w:hAnsi="Arial" w:cs="Arial"/>
        </w:rPr>
      </w:pPr>
      <w:r w:rsidRPr="009A1B6F">
        <w:rPr>
          <w:rFonts w:ascii="Arial" w:hAnsi="Arial" w:cs="Arial"/>
        </w:rPr>
        <w:t>Representante a la Cámara</w:t>
      </w:r>
      <w:r w:rsidR="009A1B6F">
        <w:rPr>
          <w:rFonts w:ascii="Arial" w:hAnsi="Arial" w:cs="Arial"/>
        </w:rPr>
        <w:tab/>
      </w:r>
      <w:r w:rsidR="009A1B6F">
        <w:rPr>
          <w:rFonts w:ascii="Arial" w:hAnsi="Arial" w:cs="Arial"/>
        </w:rPr>
        <w:tab/>
      </w:r>
      <w:r w:rsidR="009A1B6F">
        <w:rPr>
          <w:rFonts w:ascii="Arial" w:hAnsi="Arial" w:cs="Arial"/>
        </w:rPr>
        <w:tab/>
      </w:r>
      <w:r w:rsidR="009A1B6F">
        <w:rPr>
          <w:rFonts w:ascii="Arial" w:hAnsi="Arial" w:cs="Arial"/>
        </w:rPr>
        <w:tab/>
      </w:r>
      <w:r w:rsidR="009A1B6F" w:rsidRPr="009A1B6F">
        <w:rPr>
          <w:rFonts w:ascii="Arial" w:hAnsi="Arial" w:cs="Arial"/>
        </w:rPr>
        <w:t>Representante a la Cámara</w:t>
      </w:r>
    </w:p>
    <w:p w14:paraId="704C092B" w14:textId="77777777" w:rsidR="004F6838" w:rsidRPr="006F5C34" w:rsidRDefault="004F6838" w:rsidP="004F6838">
      <w:pPr>
        <w:pStyle w:val="Sinespaciado"/>
        <w:jc w:val="center"/>
        <w:rPr>
          <w:rFonts w:ascii="Arial" w:hAnsi="Arial" w:cs="Arial"/>
          <w:b/>
        </w:rPr>
      </w:pPr>
    </w:p>
    <w:p w14:paraId="586BF90F" w14:textId="5DF5BD0C" w:rsidR="004F6838" w:rsidRPr="006F5C34" w:rsidRDefault="004F6838" w:rsidP="006F5C34">
      <w:pPr>
        <w:pStyle w:val="Sinespaciado"/>
        <w:rPr>
          <w:rFonts w:ascii="Arial" w:hAnsi="Arial" w:cs="Arial"/>
          <w:b/>
        </w:rPr>
      </w:pPr>
    </w:p>
    <w:p w14:paraId="413E8A9E" w14:textId="77777777" w:rsidR="004F6838" w:rsidRPr="006F5C34" w:rsidRDefault="004F6838" w:rsidP="004F6838">
      <w:pPr>
        <w:pStyle w:val="Sinespaciado"/>
        <w:jc w:val="center"/>
        <w:rPr>
          <w:rFonts w:ascii="Arial" w:hAnsi="Arial" w:cs="Arial"/>
          <w:b/>
        </w:rPr>
      </w:pPr>
    </w:p>
    <w:p w14:paraId="1758A4E5" w14:textId="1C9EF52A" w:rsidR="004F6838" w:rsidRPr="006F5C34" w:rsidRDefault="004F6838" w:rsidP="004F6838">
      <w:pPr>
        <w:pStyle w:val="Sinespaciado"/>
        <w:jc w:val="center"/>
        <w:rPr>
          <w:rFonts w:ascii="Arial" w:hAnsi="Arial" w:cs="Arial"/>
          <w:b/>
        </w:rPr>
      </w:pPr>
    </w:p>
    <w:sectPr w:rsidR="004F6838" w:rsidRPr="006F5C34"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6255" w14:textId="77777777" w:rsidR="00DB7CDC" w:rsidRDefault="00DB7CDC" w:rsidP="001A75AA">
      <w:pPr>
        <w:spacing w:after="0" w:line="240" w:lineRule="auto"/>
      </w:pPr>
      <w:r>
        <w:separator/>
      </w:r>
    </w:p>
  </w:endnote>
  <w:endnote w:type="continuationSeparator" w:id="0">
    <w:p w14:paraId="3B8B243D" w14:textId="77777777" w:rsidR="00DB7CDC" w:rsidRDefault="00DB7CDC"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29705" w14:textId="77777777" w:rsidR="00DB7CDC" w:rsidRDefault="00DB7CDC" w:rsidP="001A75AA">
      <w:pPr>
        <w:spacing w:after="0" w:line="240" w:lineRule="auto"/>
      </w:pPr>
      <w:r>
        <w:separator/>
      </w:r>
    </w:p>
  </w:footnote>
  <w:footnote w:type="continuationSeparator" w:id="0">
    <w:p w14:paraId="6B808E87" w14:textId="77777777" w:rsidR="00DB7CDC" w:rsidRDefault="00DB7CDC"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6"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1"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2"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9"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32"/>
  </w:num>
  <w:num w:numId="3">
    <w:abstractNumId w:val="4"/>
  </w:num>
  <w:num w:numId="4">
    <w:abstractNumId w:val="16"/>
  </w:num>
  <w:num w:numId="5">
    <w:abstractNumId w:val="0"/>
  </w:num>
  <w:num w:numId="6">
    <w:abstractNumId w:val="20"/>
  </w:num>
  <w:num w:numId="7">
    <w:abstractNumId w:val="39"/>
  </w:num>
  <w:num w:numId="8">
    <w:abstractNumId w:val="6"/>
  </w:num>
  <w:num w:numId="9">
    <w:abstractNumId w:val="5"/>
  </w:num>
  <w:num w:numId="10">
    <w:abstractNumId w:val="27"/>
  </w:num>
  <w:num w:numId="11">
    <w:abstractNumId w:val="36"/>
  </w:num>
  <w:num w:numId="12">
    <w:abstractNumId w:val="13"/>
  </w:num>
  <w:num w:numId="13">
    <w:abstractNumId w:val="8"/>
  </w:num>
  <w:num w:numId="14">
    <w:abstractNumId w:val="17"/>
  </w:num>
  <w:num w:numId="15">
    <w:abstractNumId w:val="12"/>
  </w:num>
  <w:num w:numId="16">
    <w:abstractNumId w:val="35"/>
  </w:num>
  <w:num w:numId="17">
    <w:abstractNumId w:val="24"/>
  </w:num>
  <w:num w:numId="18">
    <w:abstractNumId w:val="21"/>
  </w:num>
  <w:num w:numId="19">
    <w:abstractNumId w:val="26"/>
  </w:num>
  <w:num w:numId="20">
    <w:abstractNumId w:val="37"/>
  </w:num>
  <w:num w:numId="21">
    <w:abstractNumId w:val="2"/>
  </w:num>
  <w:num w:numId="22">
    <w:abstractNumId w:val="14"/>
  </w:num>
  <w:num w:numId="23">
    <w:abstractNumId w:val="7"/>
  </w:num>
  <w:num w:numId="24">
    <w:abstractNumId w:val="33"/>
  </w:num>
  <w:num w:numId="25">
    <w:abstractNumId w:val="15"/>
  </w:num>
  <w:num w:numId="26">
    <w:abstractNumId w:val="3"/>
  </w:num>
  <w:num w:numId="27">
    <w:abstractNumId w:val="1"/>
  </w:num>
  <w:num w:numId="28">
    <w:abstractNumId w:val="29"/>
  </w:num>
  <w:num w:numId="29">
    <w:abstractNumId w:val="9"/>
  </w:num>
  <w:num w:numId="30">
    <w:abstractNumId w:val="19"/>
  </w:num>
  <w:num w:numId="31">
    <w:abstractNumId w:val="11"/>
  </w:num>
  <w:num w:numId="32">
    <w:abstractNumId w:val="31"/>
  </w:num>
  <w:num w:numId="33">
    <w:abstractNumId w:val="25"/>
  </w:num>
  <w:num w:numId="34">
    <w:abstractNumId w:val="30"/>
  </w:num>
  <w:num w:numId="35">
    <w:abstractNumId w:val="38"/>
  </w:num>
  <w:num w:numId="36">
    <w:abstractNumId w:val="34"/>
  </w:num>
  <w:num w:numId="37">
    <w:abstractNumId w:val="28"/>
  </w:num>
  <w:num w:numId="38">
    <w:abstractNumId w:val="10"/>
  </w:num>
  <w:num w:numId="39">
    <w:abstractNumId w:val="18"/>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ECB"/>
    <w:rsid w:val="00123FE7"/>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0CEB"/>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4653"/>
    <w:rsid w:val="00445302"/>
    <w:rsid w:val="004462C8"/>
    <w:rsid w:val="00447E4E"/>
    <w:rsid w:val="00460744"/>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4F6838"/>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3ED6"/>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5C34"/>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15E0D"/>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63"/>
    <w:rsid w:val="008E331F"/>
    <w:rsid w:val="008E60F0"/>
    <w:rsid w:val="008E63C3"/>
    <w:rsid w:val="008F2522"/>
    <w:rsid w:val="008F4264"/>
    <w:rsid w:val="008F4687"/>
    <w:rsid w:val="008F70C6"/>
    <w:rsid w:val="00900E3B"/>
    <w:rsid w:val="00901903"/>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1B6F"/>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E7D77"/>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2D6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4C7D"/>
    <w:rsid w:val="00BD15BA"/>
    <w:rsid w:val="00BD2462"/>
    <w:rsid w:val="00BD516F"/>
    <w:rsid w:val="00BD647E"/>
    <w:rsid w:val="00BE4262"/>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6779A"/>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B7CDC"/>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1BCD"/>
    <w:rsid w:val="00F66DC4"/>
    <w:rsid w:val="00F67C6B"/>
    <w:rsid w:val="00F71001"/>
    <w:rsid w:val="00F7192A"/>
    <w:rsid w:val="00F71BA2"/>
    <w:rsid w:val="00F71C27"/>
    <w:rsid w:val="00F72B35"/>
    <w:rsid w:val="00F84DE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0F93"/>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CCEC-BD2E-4B72-81FE-F9A2D877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2021-10-20T21:41:00Z</dcterms:created>
  <dcterms:modified xsi:type="dcterms:W3CDTF">2021-10-20T21:41:00Z</dcterms:modified>
</cp:coreProperties>
</file>